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MONTHLY ATTENDANCE REPORT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Employee Attendance Summary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REPORT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Month / Year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All Departments   [ ] Specific: 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Prepared By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Approved By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ATTENDANCE SUMMARY TABLE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00"/>
        <w:gridCol w:w="700"/>
        <w:gridCol w:w="700"/>
        <w:gridCol w:w="700"/>
        <w:gridCol w:w="700"/>
        <w:gridCol w:w="700"/>
        <w:gridCol w:w="800"/>
        <w:gridCol w:w="800"/>
        <w:gridCol w:w="800"/>
        <w:gridCol w:w="800"/>
      </w:tblGrid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Employee Name</w:t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Days
Present</w:t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Days
Absent</w:t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Annual
Leave</w:t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Medical
Leave</w:t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Public
Holiday</w:t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Unpaid
Leave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Late
Arrival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OT
Hours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Total
Hours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Remarks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SUMMARY STATISTICS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Employees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Average Attendance Rate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_____%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Annual Leave Days Taken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Medical Leave Days Taken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Unpaid Leave Days Taken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Overtime Hours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LEAVE CODE REFERENCE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6"/>
          <w:szCs w:val="16"/>
        </w:rPr>
        <w:t xml:space="preserve">P = Present   |   A = Absent   |   AL = Annual Leave   |   ML = Medical Leave   |   PH = Public Holiday   |   UL = Unpaid Leave   |   OT = Overtime   |   L = Late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Compliance Note: Employers are required to maintain accurate attendance records for all employees under the Employment Act. Records must be kept for a minimum of 2 years and made available to MOM upon request.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Manager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 Head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2026-04-24T02:37:23.143Z</dcterms:created>
  <dcterms:modified xsi:type="dcterms:W3CDTF">2026-04-24T02:37:23.143Z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